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ascii="微软雅黑" w:hAnsi="微软雅黑" w:eastAsia="微软雅黑" w:cs="Arial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147320</wp:posOffset>
                </wp:positionV>
                <wp:extent cx="4850765" cy="725805"/>
                <wp:effectExtent l="19050" t="19050" r="32385" b="5524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765" cy="725805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b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4"/>
                                <w:szCs w:val="44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新媒体招聘与人才运营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4"/>
                                <w:szCs w:val="44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4"/>
                                <w:szCs w:val="44"/>
                                <w:lang w:val="en-US" w:eastAsia="zh-CN"/>
                              </w:rPr>
                              <w:t>课纲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.45pt;margin-top:11.6pt;height:57.15pt;width:381.95pt;z-index:251660288;mso-width-relative:page;mso-height-relative:page;" fillcolor="#C00000" filled="t" stroked="t" coordsize="21600,21600" o:gfxdata="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me2H3XAAAACQEAAA8AAAAAAAAAAQAgAAAAIgAAAGRy&#10;cy9kb3ducmV2LnhtbFBLAQIUABQAAAAIAIdO4kBjxuEmeAIAAPcEAAAOAAAAAAAAAAEAIAAAACYB&#10;AABkcnMvZTJvRG9jLnhtbFBLBQYAAAAABgAGAFkBAAAQBgAAAAA=&#10;">
                <v:fill on="t" focussize="0,0"/>
                <v:stroke weight="3pt" color="#F2F2F2" joinstyle="miter"/>
                <v:imagedata o:title=""/>
                <o:lock v:ext="edit" aspectratio="f"/>
                <v:shadow on="t" color="#974706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b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4"/>
                          <w:szCs w:val="44"/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新媒体招聘与人才运营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44"/>
                          <w:szCs w:val="44"/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44"/>
                          <w:szCs w:val="44"/>
                          <w:lang w:val="en-US" w:eastAsia="zh-CN"/>
                        </w:rPr>
                        <w:t>课纲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课程背景：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年后是招聘的高峰期，大部分企业招聘的形式和渠道单一，招聘成本居高不下。新媒体短视频和直播已经成为当下主流的内容形式，尤其受年轻群体的欢迎。猎聘、BOSS直聘、智联招聘等招聘平台虽然开启了直播招聘通道，但是很多企业对直播招聘缺乏认知和系统学，导致招聘效率不高，难以满足用人需求。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课程价值：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1、降本增效：降低企业招聘成本，提升招聘效率；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2、招聘创新：告别传统招聘渠道，丰富人才招聘形式和入口；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3、人才交付：学习新媒体和AI工具，提升人员招聘的精准度和宣传口径；</w:t>
      </w:r>
    </w:p>
    <w:p>
      <w:p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4、人才运营：借助新媒体的提升新员工的转化、留存和激活。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学员收益：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1、学会招聘短视频脚本策划、亮点塑造和岗位价值表达（春招、校招、社招）；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2、掌握基础的新媒体招聘文案制作技巧和AI工具使用，提升工作效率；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3、学会新媒体招聘的主题策划、招聘环节设计和执行步骤，营销差异化；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4、学会抖音、视频号直播招聘的打法，提升招聘交付率；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5、掌握短视频直播宣传企业文化和雇主品牌建设，促进人员留存。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教学特色：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1、30%干货知识+40%案例拆解+30%现场实操；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2、头脑风暴+积分游戏+小组PK；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3、老师打样与学员共创，带目标来，带结果回。</w:t>
      </w:r>
    </w:p>
    <w:p>
      <w:p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课程对象</w:t>
      </w:r>
      <w:r>
        <w:rPr>
          <w:rFonts w:hint="eastAsia" w:ascii="微软雅黑" w:hAnsi="微软雅黑" w:eastAsia="微软雅黑" w:cs="微软雅黑"/>
          <w:lang w:val="en-US" w:eastAsia="zh-CN"/>
        </w:rPr>
        <w:t>：招聘专员、招聘经理、项目专员、项目经理、企业文化岗、品牌建设岗、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课程时长：</w:t>
      </w:r>
      <w:r>
        <w:rPr>
          <w:rFonts w:hint="eastAsia" w:ascii="微软雅黑" w:hAnsi="微软雅黑" w:eastAsia="微软雅黑" w:cs="微软雅黑"/>
          <w:lang w:val="en-US" w:eastAsia="zh-CN"/>
        </w:rPr>
        <w:t>2天（6/h）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课程主讲：</w:t>
      </w:r>
      <w:r>
        <w:rPr>
          <w:rFonts w:hint="eastAsia" w:ascii="微软雅黑" w:hAnsi="微软雅黑" w:eastAsia="微软雅黑" w:cs="微软雅黑"/>
          <w:lang w:val="en-US" w:eastAsia="zh-CN"/>
        </w:rPr>
        <w:t>王军古</w:t>
      </w:r>
    </w:p>
    <w:p>
      <w:pPr>
        <w:jc w:val="both"/>
        <w:rPr>
          <w:rFonts w:hint="default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王军古，中国管理研究院数字营销智库专家、客座教授；中智光华首席数字营销讲师；中国讲师网百强讲师；惠州仲恺科创火炬导师；阿里认证数字管理师；阿里认证数字讲师；抖音巨量认证数字营销师。曾任喜家帮配联合创始人、首席运营官；恒驰集团数字营销总经理；点动商学院发起人兼首任院长。服务客户：中国邮政、中国电信、中国联通、九阳电器、恒驰集团、金寜集團、高端集团、南方电网、时尚集团、玛氏食品、盐津铺子、良品铺子、中国电研、威凯检测、好普集团、时代生物等100多家企业。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  <w:lang w:val="en-US" w:eastAsia="zh-CN"/>
        </w:rPr>
        <w:t>课程大纲：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第一单元  认知篇：新媒体招聘的现状与趋势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1、新媒体直播破解招人难</w:t>
      </w:r>
    </w:p>
    <w:p>
      <w:p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2、新媒体直播招聘的现状分析</w:t>
      </w:r>
    </w:p>
    <w:p>
      <w:p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3、拥抱年轻求职者招聘需要不断创新</w:t>
      </w:r>
    </w:p>
    <w:p>
      <w:p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4、搭建以人为中心的互动型招聘体系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第二单元  实操篇：短视频招聘策略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1、招聘类短视频提升播放量的3个技巧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2、招聘类短视频受欢迎的3个拍摄角度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3、如何设计招聘类短视频的看点和卖点？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案例分享：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（1）三一重工招聘短视频为何刷屏网络？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（2）一条视频吸引200=求职者，究竟做对了什么？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第三单元  直播篇：直播招聘的策略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1、招聘直播间的主题策划与开播准备；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2、HR化身招聘主播如何快速转型？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3、开播前吸引目标岗位求职者的三个锦囊妙计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4、直播招聘留住求职者的四个法宝；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5、招聘HR线上直播吸粉、转粉的技巧；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案例分享：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（1）欧莱雅B站一场招聘直播，接收1169份简历；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（2）辛巴为5家企业在直播带岗，2小时接收简历17.5万份；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（3）微信视频号做直播招聘，招聘费用下降60%，招聘效率提升75%。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第四单元  AI篇：借助人工智能提升招聘效率</w:t>
      </w: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AI+招聘文案创作技巧：</w:t>
      </w:r>
    </w:p>
    <w:p>
      <w:pPr>
        <w:numPr>
          <w:ilvl w:val="0"/>
          <w:numId w:val="1"/>
        </w:numPr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AI+招聘图片制作：</w:t>
      </w:r>
    </w:p>
    <w:p>
      <w:pPr>
        <w:numPr>
          <w:ilvl w:val="0"/>
          <w:numId w:val="1"/>
        </w:numPr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AI+小红书招聘笔记：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实操：AI工具应用（文案写作、图片制作、笔记撰写）</w:t>
      </w:r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写岗位招聘文案（适合朋友圈、微信群）</w:t>
      </w:r>
    </w:p>
    <w:p>
      <w:pPr>
        <w:numPr>
          <w:ilvl w:val="0"/>
          <w:numId w:val="2"/>
        </w:numPr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10分钟做一张精美招聘海报（适合抖音、朋友圈）</w:t>
      </w:r>
    </w:p>
    <w:p>
      <w:pPr>
        <w:numPr>
          <w:ilvl w:val="0"/>
          <w:numId w:val="2"/>
        </w:numPr>
        <w:jc w:val="both"/>
        <w:rPr>
          <w:rFonts w:hint="default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写一篇小红书招聘笔记（小红书、微信）</w:t>
      </w:r>
    </w:p>
    <w:p>
      <w:pPr>
        <w:jc w:val="both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第五单元  招聘篇：新媒体提升人才交付率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1、企业品牌形象塑造的3个技巧；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2、提升应聘人员投放简历的2个法宝；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3、目标人才的传播触达策略；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4、短视频直播提升招聘的宣传广度；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5、新媒体工具：创新面试邀约技巧和转化技巧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课堂工作坊：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-如何营销差异化的招聘展位（从众多展位中脱颖而出）？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-前置招聘：如何提前预热和曝光招聘信息？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highlight w:val="yellow"/>
          <w:lang w:val="en-US" w:eastAsia="zh-CN"/>
        </w:rPr>
        <w:t>第六单元  社群篇：招聘社群运营</w:t>
      </w:r>
    </w:p>
    <w:p>
      <w:pPr>
        <w:rPr>
          <w:rFonts w:hint="default" w:ascii="微软雅黑" w:hAnsi="微软雅黑" w:eastAsia="微软雅黑" w:cs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highlight w:val="yellow"/>
          <w:lang w:val="en-US" w:eastAsia="zh-CN"/>
        </w:rPr>
        <w:t>问题引入：</w:t>
      </w:r>
    </w:p>
    <w:p>
      <w:pPr>
        <w:numPr>
          <w:numId w:val="0"/>
        </w:numPr>
        <w:ind w:leftChars="0"/>
        <w:rPr>
          <w:rFonts w:hint="default" w:ascii="微软雅黑" w:hAnsi="微软雅黑" w:eastAsia="微软雅黑" w:cs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highlight w:val="yellow"/>
          <w:lang w:val="en-US" w:eastAsia="zh-CN"/>
        </w:rPr>
        <w:t>●—— 为什么我们拉的群，最后都变成了“僵尸群”？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highlight w:val="yellow"/>
          <w:lang w:val="en-US" w:eastAsia="zh-CN"/>
        </w:rPr>
        <w:t>●—— 如何破解“死气沉沉”的微信群？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highlight w:val="yellow"/>
          <w:lang w:val="en-US" w:eastAsia="zh-CN"/>
        </w:rPr>
        <w:t>1、招聘社群的搭建步骤与运营要点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highlight w:val="yellow"/>
          <w:lang w:val="en-US" w:eastAsia="zh-CN"/>
        </w:rPr>
        <w:t>2、抖音视频号引流</w:t>
      </w:r>
      <w:r>
        <w:rPr>
          <w:rFonts w:hint="eastAsia" w:ascii="微软雅黑" w:hAnsi="微软雅黑" w:eastAsia="微软雅黑" w:cs="微软雅黑"/>
          <w:highlight w:val="yellow"/>
          <w:lang w:val="en-US" w:eastAsia="zh-CN"/>
        </w:rPr>
        <w:t>意向求职人员导入微信社群的流程和方法（私信、评论）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highlight w:val="yellow"/>
          <w:lang w:val="en-US" w:eastAsia="zh-CN"/>
        </w:rPr>
        <w:t>3、提升求职人员信任的3个技巧-促进招聘转化</w:t>
      </w:r>
    </w:p>
    <w:p>
      <w:pPr>
        <w:jc w:val="both"/>
        <w:rPr>
          <w:rFonts w:hint="default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highlight w:val="yellow"/>
          <w:lang w:val="en-US" w:eastAsia="zh-CN"/>
        </w:rPr>
        <w:t>4、学会这3个实用技巧提升二次入职率</w:t>
      </w:r>
    </w:p>
    <w:p>
      <w:pPr>
        <w:jc w:val="both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第七单元  运营篇：人才留存与人才激活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1、</w:t>
      </w:r>
      <w:r>
        <w:rPr>
          <w:rFonts w:hint="eastAsia" w:ascii="微软雅黑" w:hAnsi="微软雅黑" w:eastAsia="微软雅黑" w:cs="微软雅黑"/>
          <w:lang w:val="en-US" w:eastAsia="zh-CN"/>
        </w:rPr>
        <w:t>创新培训：别开生面的新员工入职培训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2、</w:t>
      </w:r>
      <w:r>
        <w:rPr>
          <w:rFonts w:hint="eastAsia" w:ascii="微软雅黑" w:hAnsi="微软雅黑" w:eastAsia="微软雅黑" w:cs="微软雅黑"/>
          <w:lang w:val="en-US" w:eastAsia="zh-CN"/>
        </w:rPr>
        <w:t>借助新媒体弘扬企业文化和价值观的打法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3、</w:t>
      </w:r>
      <w:r>
        <w:rPr>
          <w:rFonts w:hint="eastAsia" w:ascii="微软雅黑" w:hAnsi="微软雅黑" w:eastAsia="微软雅黑" w:cs="微软雅黑"/>
          <w:lang w:val="en-US" w:eastAsia="zh-CN"/>
        </w:rPr>
        <w:t>新媒体问卷工具打通员工入职访谈和适岗调查</w:t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4、</w:t>
      </w:r>
      <w:r>
        <w:rPr>
          <w:rFonts w:hint="eastAsia" w:ascii="微软雅黑" w:hAnsi="微软雅黑" w:eastAsia="微软雅黑" w:cs="微软雅黑"/>
          <w:lang w:val="en-US" w:eastAsia="zh-CN"/>
        </w:rPr>
        <w:t>提升员工忠诚度的3个策略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课堂复盘：新媒体招聘渠道与布局、短视频直播招聘策略、AI工具应用、人才交付与人才运营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————————————————————————————————————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color w:val="auto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highlight w:val="yellow"/>
          <w:lang w:val="en-US" w:eastAsia="zh-CN"/>
        </w:rPr>
        <w:t>课程成果输出：</w:t>
      </w:r>
    </w:p>
    <w:p>
      <w:pPr>
        <w:numPr>
          <w:ilvl w:val="0"/>
          <w:numId w:val="3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课前调研问卷1份；</w:t>
      </w:r>
    </w:p>
    <w:p>
      <w:pPr>
        <w:numPr>
          <w:ilvl w:val="0"/>
          <w:numId w:val="3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课后考试题目1份；</w:t>
      </w:r>
    </w:p>
    <w:p>
      <w:pPr>
        <w:numPr>
          <w:ilvl w:val="0"/>
          <w:numId w:val="3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学员讲义1份；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color w:val="auto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highlight w:val="yellow"/>
          <w:lang w:val="en-US" w:eastAsia="zh-CN"/>
        </w:rPr>
        <w:t>课后工具包：</w:t>
      </w:r>
    </w:p>
    <w:p>
      <w:pPr>
        <w:numPr>
          <w:ilvl w:val="0"/>
          <w:numId w:val="4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短视频招聘拍摄脚本模板；</w:t>
      </w:r>
    </w:p>
    <w:p>
      <w:pPr>
        <w:numPr>
          <w:ilvl w:val="0"/>
          <w:numId w:val="4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直播招聘脚本模板；</w:t>
      </w:r>
    </w:p>
    <w:p>
      <w:pPr>
        <w:numPr>
          <w:ilvl w:val="0"/>
          <w:numId w:val="4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直播全流程SOP；</w:t>
      </w:r>
    </w:p>
    <w:p>
      <w:pPr>
        <w:numPr>
          <w:ilvl w:val="0"/>
          <w:numId w:val="4"/>
        </w:numPr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招聘话术模板。</w:t>
      </w:r>
    </w:p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/>
          <w:bCs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lang w:val="en-US" w:eastAsia="zh-CN"/>
        </w:rPr>
        <w:t>说明：以上材料均由王军古老师亲笔完成和收集整理。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2013"/>
        </w:tabs>
        <w:bidi w:val="0"/>
        <w:jc w:val="left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赋能人才发展  加速团队成长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-209550</wp:posOffset>
          </wp:positionV>
          <wp:extent cx="1224280" cy="353060"/>
          <wp:effectExtent l="0" t="0" r="0" b="0"/>
          <wp:wrapNone/>
          <wp:docPr id="2" name="图片 2" descr="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2"/>
                  <pic:cNvPicPr>
                    <a:picLocks noChangeAspect="1"/>
                  </pic:cNvPicPr>
                </pic:nvPicPr>
                <pic:blipFill>
                  <a:blip r:embed="rId1"/>
                  <a:srcRect t="32510" r="-205" b="38517"/>
                  <a:stretch>
                    <a:fillRect/>
                  </a:stretch>
                </pic:blipFill>
                <pic:spPr>
                  <a:xfrm>
                    <a:off x="0" y="0"/>
                    <a:ext cx="122428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中智光华 — 人才发展领导品牌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13D11B"/>
    <w:multiLevelType w:val="singleLevel"/>
    <w:tmpl w:val="9F13D11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B4D20D4"/>
    <w:multiLevelType w:val="singleLevel"/>
    <w:tmpl w:val="BB4D20D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6759EA3"/>
    <w:multiLevelType w:val="singleLevel"/>
    <w:tmpl w:val="C6759EA3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584202B"/>
    <w:multiLevelType w:val="singleLevel"/>
    <w:tmpl w:val="658420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NjNmMzgzOTM0MzU0ZDNjMTY5YTc2Mjc4YWI1NGYifQ=="/>
  </w:docVars>
  <w:rsids>
    <w:rsidRoot w:val="3C4B6B80"/>
    <w:rsid w:val="3C4B6B80"/>
    <w:rsid w:val="5D902290"/>
    <w:rsid w:val="73A23A2B"/>
    <w:rsid w:val="7AA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autoRedefine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2024-02-20T07:22:00Z</dcterms:created>
  <dc:creator>王军古</dc:creator>
  <cp:lastModifiedBy>王军古</cp:lastModifiedBy>
  <dcterms:modified xsi:type="dcterms:W3CDTF">2024-02-20T11:24:16Z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C53AF364154B439DA31BA036E6CE00EF_13</vt:lpwstr>
  </property>
</Properties>
</file>